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2. Kết quả thu chi hoạt động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vertAlign w:val="superscript"/>
          <w:rtl w:val="0"/>
        </w:rPr>
        <w:t xml:space="preserve">16</w:t>
      </w: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Layout w:type="fixed"/>
        <w:tblLook w:val="0400"/>
      </w:tblPr>
      <w:tblGrid>
        <w:gridCol w:w="574"/>
        <w:gridCol w:w="5626"/>
        <w:gridCol w:w="3140"/>
        <w:tblGridChange w:id="0">
          <w:tblGrid>
            <w:gridCol w:w="574"/>
            <w:gridCol w:w="5626"/>
            <w:gridCol w:w="3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Chỉ số thống kê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Năm 2025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triệu đồng)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TỔNG THU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   63.297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Hỗ trợ chi thường xuyên từ Nhà nước/nhà đầu tư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Thu giáo dục và đào tạo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63.297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Học phí, lệ phí từ người học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61.287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Hợp đồng, tài trợ từ NSNN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Hợp đồng, tài trợ từ bên ngoài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Thu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2.010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Thu khoa học và công nghệ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Hợp đồng, tài trợ từ NSNN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Hợp đồng, tài trợ từ bên ngoài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Thu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Thu khác (thu nhập ròng)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TỔNG CHI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70.662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Chi lương, thu 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27.900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lương, thu nhập của giảng viên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11.447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lương, thu nhập cho cán bộ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16.453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Chi cơ sở vật chất và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33.782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cho đào tạo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3.616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cho nghiên cứu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cho phát triển đội ngũ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phí chung và chi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30.166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Chi hỗ trợ người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8.980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học bổng và hỗ trợ học tập, hoạt động sự kiện hỗ trợ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8.980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hoạt động nghiên cứu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120" w:before="12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Chi hoạt động khác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Vf3hs50GewW0diOBSXFkHI0fQ==">CgMxLjA4AHIhMUdFcjJmLVExaEVnWllreXEwT2tQMDJscm85ZUt0d2Nl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